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5D" w:rsidRPr="00A5415D" w:rsidRDefault="00A5415D" w:rsidP="00A5415D">
      <w:pPr>
        <w:overflowPunct/>
        <w:jc w:val="center"/>
        <w:textAlignment w:val="auto"/>
        <w:rPr>
          <w:b/>
          <w:szCs w:val="28"/>
          <w:shd w:val="clear" w:color="auto" w:fill="FFFFFF"/>
        </w:rPr>
      </w:pPr>
      <w:proofErr w:type="spellStart"/>
      <w:r w:rsidRPr="00A5415D">
        <w:rPr>
          <w:b/>
          <w:szCs w:val="28"/>
          <w:shd w:val="clear" w:color="auto" w:fill="FFFFFF"/>
        </w:rPr>
        <w:t>Листериоз</w:t>
      </w:r>
      <w:proofErr w:type="spellEnd"/>
    </w:p>
    <w:p w:rsidR="00A5415D" w:rsidRDefault="00A5415D" w:rsidP="00A5415D">
      <w:pPr>
        <w:overflowPunct/>
        <w:ind w:firstLine="0"/>
        <w:jc w:val="both"/>
        <w:textAlignment w:val="auto"/>
        <w:rPr>
          <w:szCs w:val="28"/>
          <w:shd w:val="clear" w:color="auto" w:fill="FFFFFF"/>
        </w:rPr>
      </w:pPr>
    </w:p>
    <w:p w:rsidR="00A5415D" w:rsidRPr="0047161D" w:rsidRDefault="00A5415D" w:rsidP="00A5415D">
      <w:pPr>
        <w:overflowPunct/>
        <w:jc w:val="both"/>
        <w:textAlignment w:val="auto"/>
        <w:rPr>
          <w:szCs w:val="28"/>
          <w:shd w:val="clear" w:color="auto" w:fill="FFFFFF"/>
        </w:rPr>
      </w:pPr>
      <w:proofErr w:type="spellStart"/>
      <w:r w:rsidRPr="0047161D">
        <w:rPr>
          <w:szCs w:val="28"/>
          <w:shd w:val="clear" w:color="auto" w:fill="FFFFFF"/>
        </w:rPr>
        <w:t>Листериоз</w:t>
      </w:r>
      <w:proofErr w:type="spellEnd"/>
      <w:r w:rsidRPr="0047161D">
        <w:rPr>
          <w:szCs w:val="28"/>
          <w:shd w:val="clear" w:color="auto" w:fill="FFFFFF"/>
        </w:rPr>
        <w:t xml:space="preserve"> – </w:t>
      </w:r>
      <w:proofErr w:type="spellStart"/>
      <w:r w:rsidRPr="0047161D">
        <w:rPr>
          <w:szCs w:val="28"/>
          <w:shd w:val="clear" w:color="auto" w:fill="FFFFFF"/>
        </w:rPr>
        <w:t>сапрозоонозное</w:t>
      </w:r>
      <w:proofErr w:type="spellEnd"/>
      <w:r w:rsidRPr="0047161D">
        <w:rPr>
          <w:szCs w:val="28"/>
          <w:shd w:val="clear" w:color="auto" w:fill="FFFFFF"/>
        </w:rPr>
        <w:t xml:space="preserve"> инфекционное заболевание человека и животных, вызываемое патогенными представителями рода </w:t>
      </w:r>
      <w:proofErr w:type="spellStart"/>
      <w:r w:rsidRPr="0047161D">
        <w:rPr>
          <w:i/>
          <w:iCs/>
          <w:szCs w:val="28"/>
          <w:shd w:val="clear" w:color="auto" w:fill="FFFFFF"/>
        </w:rPr>
        <w:t>Listeria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 (</w:t>
      </w:r>
      <w:proofErr w:type="spellStart"/>
      <w:r w:rsidRPr="0047161D">
        <w:rPr>
          <w:i/>
          <w:iCs/>
          <w:szCs w:val="28"/>
          <w:shd w:val="clear" w:color="auto" w:fill="FFFFFF"/>
        </w:rPr>
        <w:t>Listeria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7161D">
        <w:rPr>
          <w:i/>
          <w:iCs/>
          <w:szCs w:val="28"/>
          <w:shd w:val="clear" w:color="auto" w:fill="FFFFFF"/>
        </w:rPr>
        <w:t>monocytogenes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 </w:t>
      </w:r>
      <w:r w:rsidRPr="0047161D">
        <w:rPr>
          <w:szCs w:val="28"/>
          <w:shd w:val="clear" w:color="auto" w:fill="FFFFFF"/>
        </w:rPr>
        <w:t>и</w:t>
      </w:r>
      <w:r w:rsidRPr="0047161D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7161D">
        <w:rPr>
          <w:i/>
          <w:iCs/>
          <w:szCs w:val="28"/>
          <w:shd w:val="clear" w:color="auto" w:fill="FFFFFF"/>
        </w:rPr>
        <w:t>Listeria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7161D">
        <w:rPr>
          <w:i/>
          <w:iCs/>
          <w:szCs w:val="28"/>
          <w:shd w:val="clear" w:color="auto" w:fill="FFFFFF"/>
          <w:lang w:val="en-US"/>
        </w:rPr>
        <w:t>ivanovii</w:t>
      </w:r>
      <w:proofErr w:type="spellEnd"/>
      <w:r w:rsidRPr="0047161D">
        <w:rPr>
          <w:szCs w:val="28"/>
          <w:shd w:val="clear" w:color="auto" w:fill="FFFFFF"/>
        </w:rPr>
        <w:t xml:space="preserve">). </w:t>
      </w:r>
      <w:proofErr w:type="spellStart"/>
      <w:r w:rsidRPr="0047161D">
        <w:rPr>
          <w:szCs w:val="28"/>
          <w:shd w:val="clear" w:color="auto" w:fill="FFFFFF"/>
        </w:rPr>
        <w:t>Листериоз</w:t>
      </w:r>
      <w:proofErr w:type="spellEnd"/>
      <w:r w:rsidRPr="0047161D">
        <w:rPr>
          <w:szCs w:val="28"/>
          <w:shd w:val="clear" w:color="auto" w:fill="FFFFFF"/>
        </w:rPr>
        <w:t xml:space="preserve"> характеризуется множеством источников и резервуаров инфекции, полиморфизмом клинических проявлений, высокой летальностью у новорожденных и лиц с иммунодефицитами с возможным развитием висцеральной, нервной, железистой, </w:t>
      </w:r>
      <w:proofErr w:type="spellStart"/>
      <w:r w:rsidRPr="0047161D">
        <w:rPr>
          <w:szCs w:val="28"/>
          <w:shd w:val="clear" w:color="auto" w:fill="FFFFFF"/>
        </w:rPr>
        <w:t>гастроэнтеритической</w:t>
      </w:r>
      <w:proofErr w:type="spellEnd"/>
      <w:r w:rsidRPr="0047161D">
        <w:rPr>
          <w:szCs w:val="28"/>
          <w:shd w:val="clear" w:color="auto" w:fill="FFFFFF"/>
        </w:rPr>
        <w:t xml:space="preserve"> и смешанной форм, а также бессимптомным носительством листерий. </w:t>
      </w:r>
    </w:p>
    <w:p w:rsidR="00A5415D" w:rsidRPr="0047161D" w:rsidRDefault="00A5415D" w:rsidP="00A5415D">
      <w:pPr>
        <w:overflowPunct/>
        <w:jc w:val="both"/>
        <w:textAlignment w:val="auto"/>
        <w:rPr>
          <w:szCs w:val="28"/>
          <w:shd w:val="clear" w:color="auto" w:fill="FFFFFF"/>
        </w:rPr>
      </w:pPr>
      <w:r w:rsidRPr="0047161D">
        <w:rPr>
          <w:szCs w:val="28"/>
          <w:shd w:val="clear" w:color="auto" w:fill="FFFFFF"/>
        </w:rPr>
        <w:t xml:space="preserve">По данным </w:t>
      </w:r>
      <w:proofErr w:type="spellStart"/>
      <w:r w:rsidRPr="0047161D">
        <w:rPr>
          <w:szCs w:val="28"/>
          <w:shd w:val="clear" w:color="auto" w:fill="FFFFFF"/>
        </w:rPr>
        <w:t>European</w:t>
      </w:r>
      <w:proofErr w:type="spellEnd"/>
      <w:r w:rsidRPr="0047161D">
        <w:rPr>
          <w:szCs w:val="28"/>
          <w:shd w:val="clear" w:color="auto" w:fill="FFFFFF"/>
        </w:rPr>
        <w:t xml:space="preserve"> </w:t>
      </w:r>
      <w:proofErr w:type="spellStart"/>
      <w:r w:rsidRPr="0047161D">
        <w:rPr>
          <w:szCs w:val="28"/>
          <w:shd w:val="clear" w:color="auto" w:fill="FFFFFF"/>
        </w:rPr>
        <w:t>Food</w:t>
      </w:r>
      <w:proofErr w:type="spellEnd"/>
      <w:r w:rsidRPr="0047161D">
        <w:rPr>
          <w:szCs w:val="28"/>
          <w:shd w:val="clear" w:color="auto" w:fill="FFFFFF"/>
        </w:rPr>
        <w:t xml:space="preserve"> </w:t>
      </w:r>
      <w:proofErr w:type="spellStart"/>
      <w:r w:rsidRPr="0047161D">
        <w:rPr>
          <w:szCs w:val="28"/>
          <w:shd w:val="clear" w:color="auto" w:fill="FFFFFF"/>
        </w:rPr>
        <w:t>Safety</w:t>
      </w:r>
      <w:proofErr w:type="spellEnd"/>
      <w:r w:rsidRPr="0047161D">
        <w:rPr>
          <w:szCs w:val="28"/>
          <w:shd w:val="clear" w:color="auto" w:fill="FFFFFF"/>
        </w:rPr>
        <w:t xml:space="preserve"> </w:t>
      </w:r>
      <w:proofErr w:type="spellStart"/>
      <w:r w:rsidRPr="0047161D">
        <w:rPr>
          <w:szCs w:val="28"/>
          <w:shd w:val="clear" w:color="auto" w:fill="FFFFFF"/>
        </w:rPr>
        <w:t>Authority</w:t>
      </w:r>
      <w:proofErr w:type="spellEnd"/>
      <w:r w:rsidRPr="0047161D">
        <w:rPr>
          <w:szCs w:val="28"/>
          <w:shd w:val="clear" w:color="auto" w:fill="FFFFFF"/>
        </w:rPr>
        <w:t xml:space="preserve"> (EFSA), </w:t>
      </w:r>
      <w:proofErr w:type="spellStart"/>
      <w:r w:rsidRPr="0047161D">
        <w:rPr>
          <w:szCs w:val="28"/>
          <w:shd w:val="clear" w:color="auto" w:fill="FFFFFF"/>
        </w:rPr>
        <w:t>листериоз</w:t>
      </w:r>
      <w:proofErr w:type="spellEnd"/>
      <w:r w:rsidRPr="0047161D">
        <w:rPr>
          <w:szCs w:val="28"/>
          <w:shd w:val="clear" w:color="auto" w:fill="FFFFFF"/>
        </w:rPr>
        <w:t xml:space="preserve"> человека, </w:t>
      </w:r>
      <w:proofErr w:type="gramStart"/>
      <w:r w:rsidRPr="0047161D">
        <w:rPr>
          <w:szCs w:val="28"/>
          <w:shd w:val="clear" w:color="auto" w:fill="FFFFFF"/>
        </w:rPr>
        <w:t>вызванный</w:t>
      </w:r>
      <w:proofErr w:type="gramEnd"/>
      <w:r w:rsidRPr="0047161D">
        <w:rPr>
          <w:szCs w:val="28"/>
          <w:shd w:val="clear" w:color="auto" w:fill="FFFFFF"/>
        </w:rPr>
        <w:t xml:space="preserve"> </w:t>
      </w:r>
      <w:proofErr w:type="spellStart"/>
      <w:r w:rsidRPr="0047161D">
        <w:rPr>
          <w:i/>
          <w:iCs/>
          <w:szCs w:val="28"/>
          <w:shd w:val="clear" w:color="auto" w:fill="FFFFFF"/>
        </w:rPr>
        <w:t>Listeria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7161D">
        <w:rPr>
          <w:i/>
          <w:iCs/>
          <w:szCs w:val="28"/>
          <w:shd w:val="clear" w:color="auto" w:fill="FFFFFF"/>
          <w:lang w:val="en-US"/>
        </w:rPr>
        <w:t>monocytogenes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, </w:t>
      </w:r>
      <w:r w:rsidRPr="0047161D">
        <w:rPr>
          <w:szCs w:val="28"/>
          <w:shd w:val="clear" w:color="auto" w:fill="FFFFFF"/>
        </w:rPr>
        <w:t xml:space="preserve">занимает пятое место среди зарегистрированных случаев зоонозных инфекций, уступая сальмонеллезу, </w:t>
      </w:r>
      <w:proofErr w:type="spellStart"/>
      <w:r w:rsidRPr="0047161D">
        <w:rPr>
          <w:szCs w:val="28"/>
          <w:shd w:val="clear" w:color="auto" w:fill="FFFFFF"/>
        </w:rPr>
        <w:t>кампилобактериозу</w:t>
      </w:r>
      <w:proofErr w:type="spellEnd"/>
      <w:r w:rsidRPr="0047161D">
        <w:rPr>
          <w:szCs w:val="28"/>
          <w:shd w:val="clear" w:color="auto" w:fill="FFFFFF"/>
        </w:rPr>
        <w:t xml:space="preserve">, </w:t>
      </w:r>
      <w:proofErr w:type="spellStart"/>
      <w:r w:rsidRPr="0047161D">
        <w:rPr>
          <w:szCs w:val="28"/>
          <w:shd w:val="clear" w:color="auto" w:fill="FFFFFF"/>
        </w:rPr>
        <w:t>иерсиниозам</w:t>
      </w:r>
      <w:proofErr w:type="spellEnd"/>
      <w:r w:rsidRPr="0047161D">
        <w:rPr>
          <w:szCs w:val="28"/>
          <w:shd w:val="clear" w:color="auto" w:fill="FFFFFF"/>
        </w:rPr>
        <w:t xml:space="preserve"> и </w:t>
      </w:r>
      <w:proofErr w:type="spellStart"/>
      <w:r w:rsidRPr="0047161D">
        <w:rPr>
          <w:szCs w:val="28"/>
          <w:shd w:val="clear" w:color="auto" w:fill="FFFFFF"/>
        </w:rPr>
        <w:t>эшерихиозам</w:t>
      </w:r>
      <w:proofErr w:type="spellEnd"/>
      <w:r w:rsidRPr="0047161D">
        <w:rPr>
          <w:szCs w:val="28"/>
          <w:shd w:val="clear" w:color="auto" w:fill="FFFFFF"/>
        </w:rPr>
        <w:t xml:space="preserve">, вызванным </w:t>
      </w:r>
      <w:proofErr w:type="spellStart"/>
      <w:r w:rsidRPr="0047161D">
        <w:rPr>
          <w:szCs w:val="28"/>
          <w:shd w:val="clear" w:color="auto" w:fill="FFFFFF"/>
        </w:rPr>
        <w:t>шига-токсин</w:t>
      </w:r>
      <w:proofErr w:type="spellEnd"/>
      <w:r w:rsidRPr="0047161D">
        <w:rPr>
          <w:szCs w:val="28"/>
          <w:shd w:val="clear" w:color="auto" w:fill="FFFFFF"/>
        </w:rPr>
        <w:t xml:space="preserve"> продуцирующими </w:t>
      </w:r>
      <w:r w:rsidRPr="0047161D">
        <w:rPr>
          <w:i/>
          <w:iCs/>
          <w:szCs w:val="28"/>
          <w:shd w:val="clear" w:color="auto" w:fill="FFFFFF"/>
          <w:lang w:val="en-US"/>
        </w:rPr>
        <w:t>Escherichia</w:t>
      </w:r>
      <w:r w:rsidRPr="0047161D">
        <w:rPr>
          <w:i/>
          <w:iCs/>
          <w:szCs w:val="28"/>
          <w:shd w:val="clear" w:color="auto" w:fill="FFFFFF"/>
        </w:rPr>
        <w:t xml:space="preserve"> </w:t>
      </w:r>
      <w:r w:rsidRPr="0047161D">
        <w:rPr>
          <w:i/>
          <w:iCs/>
          <w:szCs w:val="28"/>
          <w:shd w:val="clear" w:color="auto" w:fill="FFFFFF"/>
          <w:lang w:val="en-US"/>
        </w:rPr>
        <w:t>coli</w:t>
      </w:r>
      <w:r w:rsidRPr="0047161D">
        <w:rPr>
          <w:szCs w:val="28"/>
          <w:shd w:val="clear" w:color="auto" w:fill="FFFFFF"/>
        </w:rPr>
        <w:t xml:space="preserve">. При этом </w:t>
      </w:r>
      <w:proofErr w:type="spellStart"/>
      <w:r w:rsidRPr="0047161D">
        <w:rPr>
          <w:szCs w:val="28"/>
          <w:shd w:val="clear" w:color="auto" w:fill="FFFFFF"/>
        </w:rPr>
        <w:t>листериозные</w:t>
      </w:r>
      <w:proofErr w:type="spellEnd"/>
      <w:r w:rsidRPr="0047161D">
        <w:rPr>
          <w:szCs w:val="28"/>
          <w:shd w:val="clear" w:color="auto" w:fill="FFFFFF"/>
        </w:rPr>
        <w:t xml:space="preserve"> инфекции среди уязвимых групп населения отличаются тяжелым течением с максимальным числом госпитализаций и высокой летальностью, что подтверждает эпидемиологическую значимость </w:t>
      </w:r>
      <w:proofErr w:type="spellStart"/>
      <w:r w:rsidRPr="0047161D">
        <w:rPr>
          <w:i/>
          <w:iCs/>
          <w:szCs w:val="28"/>
          <w:shd w:val="clear" w:color="auto" w:fill="FFFFFF"/>
        </w:rPr>
        <w:t>Listeria</w:t>
      </w:r>
      <w:proofErr w:type="spellEnd"/>
      <w:r w:rsidRPr="0047161D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7161D">
        <w:rPr>
          <w:i/>
          <w:iCs/>
          <w:szCs w:val="28"/>
          <w:shd w:val="clear" w:color="auto" w:fill="FFFFFF"/>
          <w:lang w:val="en-US"/>
        </w:rPr>
        <w:t>monocytogenes</w:t>
      </w:r>
      <w:proofErr w:type="spellEnd"/>
      <w:r w:rsidRPr="0047161D">
        <w:rPr>
          <w:szCs w:val="28"/>
          <w:shd w:val="clear" w:color="auto" w:fill="FFFFFF"/>
        </w:rPr>
        <w:t xml:space="preserve"> как кишечного </w:t>
      </w:r>
      <w:proofErr w:type="spellStart"/>
      <w:r w:rsidRPr="0047161D">
        <w:rPr>
          <w:szCs w:val="28"/>
          <w:shd w:val="clear" w:color="auto" w:fill="FFFFFF"/>
        </w:rPr>
        <w:t>патогена</w:t>
      </w:r>
      <w:proofErr w:type="spellEnd"/>
      <w:r w:rsidRPr="0047161D">
        <w:rPr>
          <w:szCs w:val="28"/>
          <w:shd w:val="clear" w:color="auto" w:fill="FFFFFF"/>
        </w:rPr>
        <w:t>.</w:t>
      </w:r>
    </w:p>
    <w:p w:rsidR="00A5415D" w:rsidRPr="0047161D" w:rsidRDefault="00A5415D" w:rsidP="00A5415D">
      <w:pPr>
        <w:overflowPunct/>
        <w:jc w:val="both"/>
        <w:textAlignment w:val="auto"/>
        <w:rPr>
          <w:szCs w:val="28"/>
          <w:shd w:val="clear" w:color="auto" w:fill="FFFFFF"/>
        </w:rPr>
      </w:pPr>
      <w:r w:rsidRPr="0047161D">
        <w:rPr>
          <w:szCs w:val="28"/>
        </w:rPr>
        <w:t xml:space="preserve">В общей популяции наиболее восприимчивыми к </w:t>
      </w:r>
      <w:proofErr w:type="spellStart"/>
      <w:r w:rsidRPr="0047161D">
        <w:rPr>
          <w:szCs w:val="28"/>
        </w:rPr>
        <w:t>листериозу</w:t>
      </w:r>
      <w:proofErr w:type="spellEnd"/>
      <w:r w:rsidRPr="0047161D">
        <w:rPr>
          <w:szCs w:val="28"/>
        </w:rPr>
        <w:t xml:space="preserve"> являются новорожденные и беременные женщины,</w:t>
      </w:r>
      <w:r w:rsidRPr="0047161D">
        <w:rPr>
          <w:sz w:val="24"/>
          <w:szCs w:val="24"/>
        </w:rPr>
        <w:t xml:space="preserve"> </w:t>
      </w:r>
      <w:r w:rsidRPr="0047161D">
        <w:rPr>
          <w:szCs w:val="28"/>
        </w:rPr>
        <w:t xml:space="preserve">лица старше 60 лет, а также лица с наличием иммунодефицитов различного генеза. К группам риска по </w:t>
      </w:r>
      <w:proofErr w:type="spellStart"/>
      <w:r w:rsidRPr="0047161D">
        <w:rPr>
          <w:szCs w:val="28"/>
        </w:rPr>
        <w:t>листериозу</w:t>
      </w:r>
      <w:proofErr w:type="spellEnd"/>
      <w:r w:rsidRPr="0047161D">
        <w:rPr>
          <w:szCs w:val="28"/>
        </w:rPr>
        <w:t xml:space="preserve"> относят также работников животноводческих и перерабатывающих предприятий.</w:t>
      </w:r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t xml:space="preserve">Источником инфекции для человека являются сельскохозяйственные животные (больные и бессимптомные носители) и грызуны. Переносчиком листерий могут быть кровососущие членистоногие (иксодовые и </w:t>
      </w:r>
      <w:proofErr w:type="spellStart"/>
      <w:r w:rsidRPr="0047161D">
        <w:rPr>
          <w:szCs w:val="28"/>
        </w:rPr>
        <w:t>гамазовые</w:t>
      </w:r>
      <w:proofErr w:type="spellEnd"/>
      <w:r w:rsidRPr="0047161D">
        <w:rPr>
          <w:szCs w:val="28"/>
        </w:rPr>
        <w:t xml:space="preserve"> клещи), а также различные виды блох и вшей. </w:t>
      </w:r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t xml:space="preserve">Наряду с животным резервуаром, листериями </w:t>
      </w:r>
      <w:proofErr w:type="spellStart"/>
      <w:r w:rsidRPr="0047161D">
        <w:rPr>
          <w:szCs w:val="28"/>
        </w:rPr>
        <w:t>контаминированы</w:t>
      </w:r>
      <w:proofErr w:type="spellEnd"/>
      <w:r w:rsidRPr="0047161D">
        <w:rPr>
          <w:szCs w:val="28"/>
        </w:rPr>
        <w:t xml:space="preserve"> многочисленные абиотические субстраты, в которых эти микроорганизмы способны длительно сохраняться, а при определенных условиях – размножаться. Ведущее значение для резервации листерий в природных условиях (помимо животных) имеет, прежде всего, почва. Листерии часто выделяют также из растений, силоса, пыли, водоемов и сточных вод. </w:t>
      </w:r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t xml:space="preserve">Больной </w:t>
      </w:r>
      <w:proofErr w:type="spellStart"/>
      <w:r w:rsidRPr="0047161D">
        <w:rPr>
          <w:szCs w:val="28"/>
        </w:rPr>
        <w:t>листериозом</w:t>
      </w:r>
      <w:proofErr w:type="spellEnd"/>
      <w:r w:rsidRPr="0047161D">
        <w:rPr>
          <w:szCs w:val="28"/>
        </w:rPr>
        <w:t xml:space="preserve"> человек или бессимптомный носитель также может представлять эпидемиологическую опасность для окружающих, в частности – беременные женщины, от которых возможно инфицирование новорожденных (</w:t>
      </w:r>
      <w:proofErr w:type="spellStart"/>
      <w:r w:rsidRPr="0047161D">
        <w:rPr>
          <w:szCs w:val="28"/>
        </w:rPr>
        <w:t>внутриутробно</w:t>
      </w:r>
      <w:proofErr w:type="spellEnd"/>
      <w:r w:rsidRPr="0047161D">
        <w:rPr>
          <w:szCs w:val="28"/>
        </w:rPr>
        <w:t xml:space="preserve"> или во время родов).</w:t>
      </w:r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t xml:space="preserve">Механизмы и пути передачи </w:t>
      </w:r>
      <w:proofErr w:type="spellStart"/>
      <w:r w:rsidRPr="0047161D">
        <w:rPr>
          <w:szCs w:val="28"/>
        </w:rPr>
        <w:t>листериоза</w:t>
      </w:r>
      <w:proofErr w:type="spellEnd"/>
      <w:r w:rsidRPr="0047161D">
        <w:rPr>
          <w:szCs w:val="28"/>
        </w:rPr>
        <w:t xml:space="preserve"> чрезвычайно разнообразны. </w:t>
      </w:r>
      <w:proofErr w:type="gramStart"/>
      <w:r w:rsidRPr="0047161D">
        <w:rPr>
          <w:szCs w:val="28"/>
        </w:rPr>
        <w:t xml:space="preserve">Основным механизмом является фекально-оральный (пищевой и контактно-бытовой пути); второстепенными – аэрогенный (воздушно-пылевой путь), контактный (через кожу, слизистые), трансмиссивный (через укусы кровососущих членистоногих – блох, вшей), вертикальный и </w:t>
      </w:r>
      <w:proofErr w:type="spellStart"/>
      <w:r w:rsidRPr="0047161D">
        <w:rPr>
          <w:szCs w:val="28"/>
        </w:rPr>
        <w:t>артифициальный</w:t>
      </w:r>
      <w:proofErr w:type="spellEnd"/>
      <w:r w:rsidRPr="0047161D">
        <w:rPr>
          <w:szCs w:val="28"/>
        </w:rPr>
        <w:t xml:space="preserve"> (инфицирование новорождённых через предметы ухода и медицинский инструментарий).</w:t>
      </w:r>
      <w:proofErr w:type="gramEnd"/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lastRenderedPageBreak/>
        <w:t xml:space="preserve">Наиболее часто заражение человека </w:t>
      </w:r>
      <w:proofErr w:type="spellStart"/>
      <w:r w:rsidRPr="0047161D">
        <w:rPr>
          <w:szCs w:val="28"/>
        </w:rPr>
        <w:t>листериозом</w:t>
      </w:r>
      <w:proofErr w:type="spellEnd"/>
      <w:r w:rsidRPr="0047161D">
        <w:rPr>
          <w:szCs w:val="28"/>
        </w:rPr>
        <w:t xml:space="preserve"> происходит в результате употребления в пищу </w:t>
      </w:r>
      <w:proofErr w:type="spellStart"/>
      <w:r w:rsidRPr="0047161D">
        <w:rPr>
          <w:szCs w:val="28"/>
        </w:rPr>
        <w:t>контаминированных</w:t>
      </w:r>
      <w:proofErr w:type="spellEnd"/>
      <w:r w:rsidRPr="0047161D">
        <w:rPr>
          <w:szCs w:val="28"/>
        </w:rPr>
        <w:t xml:space="preserve"> листериями продуктов животного (мясные и молочные продукты, птицеводческая продукция) и растительного происхождения (овощей, фруктов, зелени), рыбы и морепродуктов, употребляемых в пищу в сыром или недостаточно термически обработанном виде. Большинство (более 90 %) </w:t>
      </w:r>
      <w:proofErr w:type="spellStart"/>
      <w:r w:rsidRPr="0047161D">
        <w:rPr>
          <w:szCs w:val="28"/>
        </w:rPr>
        <w:t>инвазивных</w:t>
      </w:r>
      <w:proofErr w:type="spellEnd"/>
      <w:r w:rsidRPr="0047161D">
        <w:rPr>
          <w:szCs w:val="28"/>
        </w:rPr>
        <w:t xml:space="preserve"> случаев </w:t>
      </w:r>
      <w:proofErr w:type="spellStart"/>
      <w:r w:rsidRPr="0047161D">
        <w:rPr>
          <w:szCs w:val="28"/>
        </w:rPr>
        <w:t>листериоза</w:t>
      </w:r>
      <w:proofErr w:type="spellEnd"/>
      <w:r w:rsidRPr="0047161D">
        <w:rPr>
          <w:szCs w:val="28"/>
        </w:rPr>
        <w:t xml:space="preserve"> (кишечная форма) могут быть вызваны употреблением в пищу продуктов с содержанием возбудителя инфекции более 2000 КОЕ/</w:t>
      </w:r>
      <w:proofErr w:type="gramStart"/>
      <w:r w:rsidRPr="0047161D">
        <w:rPr>
          <w:szCs w:val="28"/>
        </w:rPr>
        <w:t>г</w:t>
      </w:r>
      <w:proofErr w:type="gramEnd"/>
      <w:r w:rsidRPr="0047161D">
        <w:rPr>
          <w:szCs w:val="28"/>
        </w:rPr>
        <w:t xml:space="preserve">, а около 33 % – с наличием </w:t>
      </w:r>
      <w:proofErr w:type="spellStart"/>
      <w:r w:rsidRPr="0047161D">
        <w:rPr>
          <w:szCs w:val="28"/>
        </w:rPr>
        <w:t>биопленок</w:t>
      </w:r>
      <w:proofErr w:type="spellEnd"/>
      <w:r w:rsidRPr="0047161D">
        <w:rPr>
          <w:szCs w:val="28"/>
        </w:rPr>
        <w:t xml:space="preserve">, сформированных </w:t>
      </w:r>
      <w:proofErr w:type="spellStart"/>
      <w:r w:rsidRPr="0047161D">
        <w:rPr>
          <w:szCs w:val="28"/>
        </w:rPr>
        <w:t>патогеном</w:t>
      </w:r>
      <w:proofErr w:type="spellEnd"/>
      <w:r w:rsidRPr="0047161D">
        <w:rPr>
          <w:szCs w:val="28"/>
        </w:rPr>
        <w:t xml:space="preserve"> в продуктах питания на этапе хранения или потребления.</w:t>
      </w:r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t xml:space="preserve">В настоящее время </w:t>
      </w:r>
      <w:proofErr w:type="spellStart"/>
      <w:r w:rsidRPr="0047161D">
        <w:rPr>
          <w:szCs w:val="28"/>
        </w:rPr>
        <w:t>листериоз</w:t>
      </w:r>
      <w:proofErr w:type="spellEnd"/>
      <w:r w:rsidRPr="0047161D">
        <w:rPr>
          <w:szCs w:val="28"/>
        </w:rPr>
        <w:t xml:space="preserve"> регистрируют более чем в 65 странах мира на всех континентах, в различных географических и природных зонах. </w:t>
      </w:r>
    </w:p>
    <w:p w:rsidR="00A5415D" w:rsidRPr="0047161D" w:rsidRDefault="00A5415D" w:rsidP="00A5415D">
      <w:pPr>
        <w:tabs>
          <w:tab w:val="left" w:pos="426"/>
          <w:tab w:val="left" w:pos="709"/>
        </w:tabs>
        <w:overflowPunct/>
        <w:autoSpaceDE/>
        <w:autoSpaceDN/>
        <w:adjustRightInd/>
        <w:jc w:val="both"/>
        <w:textAlignment w:val="auto"/>
        <w:rPr>
          <w:szCs w:val="28"/>
        </w:rPr>
      </w:pPr>
      <w:r w:rsidRPr="0047161D">
        <w:rPr>
          <w:szCs w:val="28"/>
        </w:rPr>
        <w:t xml:space="preserve">Случаи </w:t>
      </w:r>
      <w:proofErr w:type="spellStart"/>
      <w:r w:rsidRPr="0047161D">
        <w:rPr>
          <w:szCs w:val="28"/>
        </w:rPr>
        <w:t>листериоза</w:t>
      </w:r>
      <w:proofErr w:type="spellEnd"/>
      <w:r w:rsidRPr="0047161D">
        <w:rPr>
          <w:szCs w:val="28"/>
        </w:rPr>
        <w:t xml:space="preserve"> среди населения Российской Федерации выявляются ежегодно. В многолетней динамике (1997–2023 годы) показатель регистрируемой заболеваемости не превышал 0,07 на 100 тысяч населения, а количество заболевших – не более 100 в год.</w:t>
      </w:r>
    </w:p>
    <w:p w:rsidR="00911D4B" w:rsidRDefault="00911D4B"/>
    <w:sectPr w:rsidR="00911D4B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5415D"/>
    <w:rsid w:val="00911D4B"/>
    <w:rsid w:val="00931700"/>
    <w:rsid w:val="00A5415D"/>
    <w:rsid w:val="00B45D3A"/>
    <w:rsid w:val="00E2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15D"/>
    <w:pPr>
      <w:overflowPunct w:val="0"/>
      <w:autoSpaceDE w:val="0"/>
      <w:autoSpaceDN w:val="0"/>
      <w:adjustRightInd w:val="0"/>
      <w:spacing w:after="0" w:line="240" w:lineRule="auto"/>
      <w:ind w:left="0" w:firstLine="709"/>
      <w:textAlignment w:val="baseline"/>
    </w:pPr>
    <w:rPr>
      <w:rFonts w:ascii="Times New Roman" w:eastAsia="Times New Roman" w:hAnsi="Times New Roman" w:cs="Times New Roman"/>
      <w:sz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overflowPunct/>
      <w:autoSpaceDE/>
      <w:autoSpaceDN/>
      <w:adjustRightInd/>
      <w:spacing w:before="400" w:after="60"/>
      <w:ind w:left="2160" w:firstLine="0"/>
      <w:contextualSpacing/>
      <w:textAlignment w:val="auto"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overflowPunct/>
      <w:autoSpaceDE/>
      <w:autoSpaceDN/>
      <w:adjustRightInd/>
      <w:spacing w:before="120" w:after="60"/>
      <w:ind w:left="2160" w:firstLine="0"/>
      <w:contextualSpacing/>
      <w:textAlignment w:val="auto"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overflowPunct/>
      <w:autoSpaceDE/>
      <w:autoSpaceDN/>
      <w:adjustRightInd/>
      <w:spacing w:before="120" w:after="60"/>
      <w:ind w:left="2160" w:firstLine="0"/>
      <w:contextualSpacing/>
      <w:textAlignment w:val="auto"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overflowPunct/>
      <w:autoSpaceDE/>
      <w:autoSpaceDN/>
      <w:adjustRightInd/>
      <w:spacing w:before="200" w:after="100"/>
      <w:ind w:left="2160" w:firstLine="0"/>
      <w:contextualSpacing/>
      <w:textAlignment w:val="auto"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overflowPunct/>
      <w:autoSpaceDE/>
      <w:autoSpaceDN/>
      <w:adjustRightInd/>
      <w:spacing w:before="200" w:after="100"/>
      <w:ind w:left="2160" w:firstLine="0"/>
      <w:contextualSpacing/>
      <w:textAlignment w:val="auto"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overflowPunct/>
      <w:autoSpaceDE/>
      <w:autoSpaceDN/>
      <w:adjustRightInd/>
      <w:spacing w:before="200" w:after="100" w:line="288" w:lineRule="auto"/>
      <w:ind w:left="2160" w:firstLine="0"/>
      <w:contextualSpacing/>
      <w:textAlignment w:val="auto"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overflowPunct/>
      <w:autoSpaceDE/>
      <w:autoSpaceDN/>
      <w:adjustRightInd/>
      <w:spacing w:before="200" w:after="100"/>
      <w:ind w:left="2160" w:firstLine="0"/>
      <w:contextualSpacing/>
      <w:textAlignment w:val="auto"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overflowPunct/>
      <w:autoSpaceDE/>
      <w:autoSpaceDN/>
      <w:adjustRightInd/>
      <w:spacing w:before="200" w:after="60"/>
      <w:ind w:left="2160" w:firstLine="0"/>
      <w:contextualSpacing/>
      <w:textAlignment w:val="auto"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overflowPunct/>
      <w:autoSpaceDE/>
      <w:autoSpaceDN/>
      <w:adjustRightInd/>
      <w:spacing w:before="200" w:after="60"/>
      <w:ind w:left="2160" w:firstLine="0"/>
      <w:contextualSpacing/>
      <w:textAlignment w:val="auto"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pPr>
      <w:overflowPunct/>
      <w:autoSpaceDE/>
      <w:autoSpaceDN/>
      <w:adjustRightInd/>
      <w:spacing w:after="160" w:line="288" w:lineRule="auto"/>
      <w:ind w:left="2160" w:firstLine="0"/>
      <w:textAlignment w:val="auto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val="en-US" w:eastAsia="en-US" w:bidi="en-US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overflowPunct/>
      <w:autoSpaceDE/>
      <w:autoSpaceDN/>
      <w:adjustRightInd/>
      <w:ind w:left="2160" w:firstLine="0"/>
      <w:textAlignment w:val="auto"/>
    </w:pPr>
    <w:rPr>
      <w:rFonts w:asciiTheme="minorHAnsi" w:eastAsiaTheme="minorHAnsi" w:hAnsiTheme="minorHAnsi" w:cstheme="minorBidi"/>
      <w:color w:val="5A5A5A" w:themeColor="text1" w:themeTint="A5"/>
      <w:sz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931700"/>
    <w:pPr>
      <w:overflowPunct/>
      <w:autoSpaceDE/>
      <w:autoSpaceDN/>
      <w:adjustRightInd/>
      <w:spacing w:after="160" w:line="288" w:lineRule="auto"/>
      <w:ind w:left="720" w:firstLine="0"/>
      <w:contextualSpacing/>
      <w:textAlignment w:val="auto"/>
    </w:pPr>
    <w:rPr>
      <w:rFonts w:asciiTheme="minorHAnsi" w:eastAsiaTheme="minorHAnsi" w:hAnsiTheme="minorHAnsi" w:cstheme="minorBidi"/>
      <w:color w:val="5A5A5A" w:themeColor="text1" w:themeTint="A5"/>
      <w:sz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31700"/>
    <w:pPr>
      <w:overflowPunct/>
      <w:autoSpaceDE/>
      <w:autoSpaceDN/>
      <w:adjustRightInd/>
      <w:spacing w:after="160" w:line="288" w:lineRule="auto"/>
      <w:ind w:left="2160" w:firstLine="0"/>
      <w:textAlignment w:val="auto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overflowPunct/>
      <w:autoSpaceDE/>
      <w:autoSpaceDN/>
      <w:adjustRightInd/>
      <w:spacing w:after="160" w:line="300" w:lineRule="auto"/>
      <w:ind w:left="2506" w:right="432" w:firstLine="0"/>
      <w:textAlignment w:val="auto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3104</Characters>
  <Application>Microsoft Office Word</Application>
  <DocSecurity>0</DocSecurity>
  <Lines>25</Lines>
  <Paragraphs>7</Paragraphs>
  <ScaleCrop>false</ScaleCrop>
  <Company>Роспотребнадзор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2</cp:revision>
  <dcterms:created xsi:type="dcterms:W3CDTF">2026-06-18T09:13:00Z</dcterms:created>
  <dcterms:modified xsi:type="dcterms:W3CDTF">2026-06-18T09:14:00Z</dcterms:modified>
</cp:coreProperties>
</file>